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re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Tre"/>
        <w:jc w:val="center"/>
        <w:rPr>
          <w:rFonts w:ascii="Times New Roman" w:hAnsi="Times New Roman" w:cs="Times New Roman"/>
          <w:b/>
          <w:b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</w:rPr>
        <w:t xml:space="preserve">PRZYKŁADOWY </w:t>
      </w:r>
      <w:r>
        <w:rPr>
          <w:rFonts w:cs="Times New Roman" w:ascii="Times New Roman" w:hAnsi="Times New Roman"/>
          <w:b/>
          <w:color w:val="auto"/>
          <w:sz w:val="24"/>
          <w:szCs w:val="24"/>
        </w:rPr>
        <w:t>PROGRAM</w:t>
      </w:r>
    </w:p>
    <w:p>
      <w:pPr>
        <w:pStyle w:val="Tre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współpracy w ramach patronatu Wydziału Psychologii i Kognitywistyki UAM</w:t>
      </w:r>
    </w:p>
    <w:p>
      <w:pPr>
        <w:pStyle w:val="Tre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Tre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W ramach patronatu Wydziału Psychologii i Kognitywistyki UAM będzie sprawował opiekę merytoryczną przez pracowników i doktorantów  w ramach programu realizowanego przez grupę uczniów 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xxx</w:t>
      </w:r>
      <w:r>
        <w:rPr>
          <w:rFonts w:cs="Times New Roman" w:ascii="Times New Roman" w:hAnsi="Times New Roman"/>
          <w:color w:val="auto"/>
          <w:sz w:val="24"/>
          <w:szCs w:val="24"/>
        </w:rPr>
        <w:t>.</w:t>
      </w:r>
    </w:p>
    <w:p>
      <w:pPr>
        <w:pStyle w:val="Domylne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276"/>
        <w:ind w:right="232" w:hanging="0"/>
        <w:jc w:val="both"/>
        <w:rPr>
          <w:rFonts w:ascii="Times New Roman" w:hAnsi="Times New Roman" w:eastAsia="Helvetica" w:cs="Times New Roman"/>
          <w:color w:val="auto"/>
          <w:sz w:val="24"/>
          <w:szCs w:val="24"/>
        </w:rPr>
      </w:pPr>
      <w:r>
        <w:rPr>
          <w:rFonts w:eastAsia="Helvetica" w:cs="Times New Roman" w:ascii="Times New Roman" w:hAnsi="Times New Roman"/>
          <w:color w:val="auto"/>
          <w:sz w:val="24"/>
          <w:szCs w:val="24"/>
        </w:rPr>
      </w:r>
    </w:p>
    <w:p>
      <w:pPr>
        <w:pStyle w:val="Tre"/>
        <w:jc w:val="both"/>
        <w:rPr>
          <w:rFonts w:ascii="Times New Roman" w:hAnsi="Times New Roman" w:cs="Times New Roman"/>
          <w:b/>
          <w:b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</w:rPr>
        <w:t>Zakres planowanej współpracy:</w:t>
      </w:r>
    </w:p>
    <w:p>
      <w:pPr>
        <w:pStyle w:val="Tre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Tre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Wydział Psychologii i Kognitywistyki UAM zamierza realizować́ zajęcia popularyzujące dwie dyscypliny reprezentowane przez pracowników </w:t>
      </w:r>
      <w:r>
        <w:rPr>
          <w:rFonts w:cs="Times New Roman" w:ascii="Times New Roman" w:hAnsi="Times New Roman"/>
          <w:color w:val="auto"/>
          <w:sz w:val="24"/>
          <w:szCs w:val="24"/>
        </w:rPr>
        <w:t>doktorantów i studentów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Wydziału, tj. psychologię oraz kognitywistykę. Uczniowie Szkoły będą mieli możliwość uczestnictwa w wybranych zajęciach prowadzonych w ramach obu kierunków, których program dostosowany będzie do ich możliwości. </w:t>
      </w:r>
    </w:p>
    <w:p>
      <w:pPr>
        <w:pStyle w:val="Tre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</w:r>
    </w:p>
    <w:p>
      <w:pPr>
        <w:pStyle w:val="Tre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Działania podejmowane przez pracowników, </w:t>
      </w:r>
      <w:r>
        <w:rPr>
          <w:rFonts w:cs="Times New Roman" w:ascii="Times New Roman" w:hAnsi="Times New Roman"/>
          <w:color w:val="auto"/>
          <w:sz w:val="24"/>
          <w:szCs w:val="24"/>
        </w:rPr>
        <w:t>doktorantów i studentów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naszego Wydziału będą dotyczyły zwłaszcza (opcjonalnie do wyboru, w zależności od zainteresowania uczniów):</w:t>
      </w:r>
    </w:p>
    <w:p>
      <w:pPr>
        <w:pStyle w:val="Tre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Tre"/>
        <w:numPr>
          <w:ilvl w:val="0"/>
          <w:numId w:val="1"/>
        </w:numPr>
        <w:ind w:left="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prowadzenia w Szkole warsztatów psychoedukacyjnych oraz nadzoru nad takimi warsztatami realizowanymi przez studentów ostatnich lat psychologii oraz kognitywistyki, tj. studentów zaangażowanych w programy Fabryka Młodych Profesjonalistów, czy członków kół naukowych, (np. warsztat przygotowany i prowadzony przez członków koła naukowego IP 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pt. radzenie sobie z trudnymi emocjami, efektywne metody uczenia się, jak się uczyć, żeby się nauczyć);</w:t>
      </w:r>
    </w:p>
    <w:p>
      <w:pPr>
        <w:pStyle w:val="ListParagraph"/>
        <w:numPr>
          <w:ilvl w:val="0"/>
          <w:numId w:val="1"/>
        </w:numPr>
        <w:pBdr/>
        <w:ind w:left="0" w:hanging="240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prowadzenia seminariów psychologicznych w Szkole; </w:t>
      </w:r>
    </w:p>
    <w:p>
      <w:pPr>
        <w:pStyle w:val="Tre"/>
        <w:numPr>
          <w:ilvl w:val="0"/>
          <w:numId w:val="1"/>
        </w:numPr>
        <w:ind w:left="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organizacji zajęć innego typu, np.  DKF i gry terenowe na terenie Wydziału Psychologii i Kognitywistyki; </w:t>
      </w:r>
      <w:bookmarkStart w:id="0" w:name="_GoBack"/>
      <w:bookmarkEnd w:id="0"/>
    </w:p>
    <w:p>
      <w:pPr>
        <w:pStyle w:val="Tre"/>
        <w:numPr>
          <w:ilvl w:val="0"/>
          <w:numId w:val="1"/>
        </w:numPr>
        <w:ind w:left="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prezentacji oferty edukacyjnej Wydziału Psychologii i Kognitywistyki.</w:t>
      </w:r>
    </w:p>
    <w:p>
      <w:pPr>
        <w:pStyle w:val="Tre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Tre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Oprócz udziału uczniów Klasy Patronackiej w zajęciach otwartych (wykładach, seminariach, warsztatach) organizowanych przez Wydział Psychologii i Kognitywistyki UAM,  przewidujemy również branie udziału przez uczniów Klasy Patronackiej w pracach badawczych wykonywanych na Wydziale Psychologii i Kognitywistyki UAM.</w:t>
      </w:r>
    </w:p>
    <w:p>
      <w:pPr>
        <w:pStyle w:val="Tre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Tre"/>
        <w:jc w:val="both"/>
        <w:rPr>
          <w:rFonts w:ascii="Times New Roman" w:hAnsi="Times New Roman" w:cs="Times New Roman"/>
          <w:b/>
          <w:b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</w:rPr>
        <w:t>Wykaz pracowników i doktorantów UAM, którzy będą realizować́  te aktywności:</w:t>
      </w:r>
    </w:p>
    <w:p>
      <w:pPr>
        <w:pStyle w:val="Tre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</w:r>
    </w:p>
    <w:tbl>
      <w:tblPr>
        <w:tblStyle w:val="TableNormal"/>
        <w:tblW w:w="9117" w:type="dxa"/>
        <w:jc w:val="left"/>
        <w:tblInd w:w="392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4224"/>
        <w:gridCol w:w="4892"/>
      </w:tblGrid>
      <w:tr>
        <w:trPr>
          <w:trHeight w:val="479" w:hRule="atLeast"/>
        </w:trPr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tabeli2"/>
              <w:widowControl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pl-PL" w:eastAsia="pl-PL" w:bidi="ar-SA"/>
              </w:rPr>
              <w:t>Pracownik</w:t>
            </w:r>
          </w:p>
        </w:tc>
        <w:tc>
          <w:tcPr>
            <w:tcW w:w="4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re"/>
              <w:widowControl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auto"/>
                <w:kern w:val="0"/>
                <w:sz w:val="24"/>
                <w:szCs w:val="24"/>
                <w:lang w:val="pl-PL" w:eastAsia="pl-PL" w:bidi="ar-SA"/>
              </w:rPr>
              <w:t>wymiar godzin zajęć dydaktycznych przeprowadzonych w szkole*:</w:t>
            </w:r>
          </w:p>
        </w:tc>
      </w:tr>
      <w:tr>
        <w:trPr>
          <w:trHeight w:val="295" w:hRule="atLeast"/>
        </w:trPr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 w:cs="Times New Roman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rial Unicode MS" w:cs="Times New Roman"/>
                <w:kern w:val="0"/>
                <w:sz w:val="24"/>
                <w:szCs w:val="24"/>
                <w:lang w:val="pl-PL" w:eastAsia="en-US" w:bidi="ar-SA"/>
              </w:rPr>
              <w:t>x</w:t>
            </w:r>
          </w:p>
        </w:tc>
        <w:tc>
          <w:tcPr>
            <w:tcW w:w="4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both"/>
              <w:rPr>
                <w:lang w:val="pl-PL"/>
              </w:rPr>
            </w:pPr>
            <w:r>
              <w:rPr>
                <w:rFonts w:eastAsia="Arial Unicode MS" w:cs="Times New Roman"/>
                <w:kern w:val="0"/>
                <w:lang w:val="pl-PL" w:bidi="ar-SA"/>
              </w:rPr>
              <w:t>x</w:t>
            </w:r>
          </w:p>
        </w:tc>
      </w:tr>
      <w:tr>
        <w:trPr>
          <w:trHeight w:val="295" w:hRule="atLeast"/>
        </w:trPr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 w:cs="Times New Roman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rial Unicode MS" w:cs="Times New Roman"/>
                <w:kern w:val="0"/>
                <w:sz w:val="24"/>
                <w:szCs w:val="24"/>
                <w:lang w:val="pl-PL" w:eastAsia="en-US" w:bidi="ar-SA"/>
              </w:rPr>
              <w:t>x</w:t>
            </w:r>
          </w:p>
        </w:tc>
        <w:tc>
          <w:tcPr>
            <w:tcW w:w="4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lang w:val="pl-PL"/>
              </w:rPr>
            </w:pPr>
            <w:r>
              <w:rPr>
                <w:rFonts w:eastAsia="Arial Unicode MS" w:cs="Times New Roman"/>
                <w:kern w:val="0"/>
                <w:lang w:val="pl-PL" w:bidi="ar-SA"/>
              </w:rPr>
              <w:t>x</w:t>
            </w:r>
          </w:p>
        </w:tc>
      </w:tr>
    </w:tbl>
    <w:p>
      <w:pPr>
        <w:pStyle w:val="Domylne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ind w:right="232" w:hanging="0"/>
        <w:jc w:val="both"/>
        <w:rPr>
          <w:rFonts w:ascii="Times New Roman" w:hAnsi="Times New Roman" w:eastAsia="Helvetica" w:cs="Times New Roman"/>
          <w:color w:val="auto"/>
          <w:sz w:val="18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* </w:t>
      </w:r>
      <w:r>
        <w:rPr>
          <w:rFonts w:cs="Times New Roman" w:ascii="Times New Roman" w:hAnsi="Times New Roman"/>
          <w:color w:val="auto"/>
          <w:sz w:val="18"/>
          <w:szCs w:val="24"/>
        </w:rPr>
        <w:t>liczba godzin przeprowadzonych w szkole przez nauczycieli akademickich nie może naruszać zasad obowiązujących w UAM oraz przekraczać możliwości finansowych podstawowej jednostki organizacyjnej realizującej Program</w:t>
      </w:r>
    </w:p>
    <w:p>
      <w:pPr>
        <w:pStyle w:val="Tre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Tre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Tre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Tre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Tre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Tre"/>
        <w:jc w:val="both"/>
        <w:rPr>
          <w:rFonts w:ascii="Times New Roman" w:hAnsi="Times New Roman" w:cs="Times New Roman"/>
          <w:b/>
          <w:b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</w:rPr>
        <w:t>Wykaz planowanych kosztów:</w:t>
      </w:r>
    </w:p>
    <w:p>
      <w:pPr>
        <w:pStyle w:val="Tre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Tre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Realizacja zajęć w ramach programu nie będzie się wiązała z  dodatkowymi kosztami ze strony Uczelni a zajęcia, które będą się odbywały z udziałem uczniów klas patronackich będą realizowane w ramach pensum dydaktycznego pracowników.</w:t>
      </w:r>
    </w:p>
    <w:sectPr>
      <w:headerReference w:type="default" r:id="rId2"/>
      <w:footerReference w:type="default" r:id="rId3"/>
      <w:type w:val="nextPage"/>
      <w:pgSz w:w="11906" w:h="16838"/>
      <w:pgMar w:left="1418" w:right="1134" w:header="709" w:top="1985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onsola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Neue">
    <w:charset w:val="ee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461.6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color w:val="7F7F7F" w:themeColor="text1" w:themeTint="80"/>
        <w:sz w:val="20"/>
        <w:szCs w:val="20"/>
        <w:lang w:val="pl-PL"/>
      </w:rPr>
    </w:pPr>
    <w:r>
      <w:rPr>
        <w:color w:val="7F7F7F" w:themeColor="text1" w:themeTint="80"/>
        <w:sz w:val="20"/>
        <w:szCs w:val="20"/>
        <w:lang w:val="pl-PL"/>
      </w:rPr>
      <w:t>Załącznik do zarządzenia nr  50/2016/2017/</w:t>
    </w:r>
  </w:p>
  <w:p>
    <w:pPr>
      <w:pStyle w:val="Gwka"/>
      <w:jc w:val="right"/>
      <w:rPr>
        <w:color w:val="7F7F7F" w:themeColor="text1" w:themeTint="80"/>
      </w:rPr>
    </w:pPr>
    <w:r>
      <w:rPr>
        <w:color w:val="7F7F7F" w:themeColor="text1" w:themeTint="80"/>
        <w:sz w:val="20"/>
        <w:szCs w:val="20"/>
        <w:lang w:val="pl-PL"/>
      </w:rPr>
      <w:t>w sprawie zasad realizacji patronatu w szkołach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240" w:hanging="24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480" w:hanging="24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720" w:hanging="24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960" w:hanging="24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1200" w:hanging="24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1440" w:hanging="24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1680" w:hanging="24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1920" w:hanging="24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2160" w:hanging="24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pBdr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55a7a"/>
    <w:rPr>
      <w:sz w:val="24"/>
      <w:szCs w:val="24"/>
      <w:lang w:val="en-US" w:eastAsia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55a7a"/>
    <w:rPr>
      <w:sz w:val="24"/>
      <w:szCs w:val="24"/>
      <w:lang w:val="en-US" w:eastAsia="en-US"/>
    </w:rPr>
  </w:style>
  <w:style w:type="character" w:styleId="TekstdymkaZnak" w:customStyle="1">
    <w:name w:val="Tekst dymka Znak"/>
    <w:basedOn w:val="DefaultParagraphFont"/>
    <w:link w:val="Tekstdymka"/>
    <w:semiHidden/>
    <w:qFormat/>
    <w:rsid w:val="00f55a7a"/>
    <w:rPr>
      <w:rFonts w:ascii="Tahoma" w:hAnsi="Tahoma" w:eastAsia="Calibri" w:cs="Tahoma"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qFormat/>
    <w:rsid w:val="00f55a7a"/>
    <w:rPr/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qFormat/>
    <w:rsid w:val="00ba33ab"/>
    <w:rPr>
      <w:rFonts w:ascii="Consolas" w:hAnsi="Consolas"/>
      <w:lang w:val="en-US"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re" w:customStyle="1">
    <w:name w:val="Treść"/>
    <w:qFormat/>
    <w:pPr>
      <w:widowControl/>
      <w:pBdr/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2"/>
      <w:szCs w:val="22"/>
      <w:lang w:val="pl-PL" w:eastAsia="pl-PL" w:bidi="ar-SA"/>
    </w:rPr>
  </w:style>
  <w:style w:type="paragraph" w:styleId="Domylne" w:customStyle="1">
    <w:name w:val="Domyślne"/>
    <w:qFormat/>
    <w:pPr>
      <w:widowControl/>
      <w:pBdr/>
      <w:bidi w:val="0"/>
      <w:spacing w:before="0" w:after="0"/>
      <w:jc w:val="left"/>
    </w:pPr>
    <w:rPr>
      <w:rFonts w:ascii="Helvetica Neue" w:hAnsi="Helvetica Neue" w:eastAsia="Helvetica Neue" w:cs="Helvetica Neue"/>
      <w:color w:val="000000"/>
      <w:kern w:val="0"/>
      <w:sz w:val="22"/>
      <w:szCs w:val="22"/>
      <w:lang w:val="pl-PL" w:eastAsia="pl-PL" w:bidi="ar-SA"/>
    </w:rPr>
  </w:style>
  <w:style w:type="paragraph" w:styleId="Styltabeli2" w:customStyle="1">
    <w:name w:val="Styl tabeli 2"/>
    <w:qFormat/>
    <w:pPr>
      <w:widowControl/>
      <w:pBdr/>
      <w:bidi w:val="0"/>
      <w:spacing w:before="0" w:after="0"/>
      <w:jc w:val="left"/>
    </w:pPr>
    <w:rPr>
      <w:rFonts w:ascii="Helvetica Neue" w:hAnsi="Helvetica Neue" w:eastAsia="Helvetica Neue" w:cs="Helvetica Neue"/>
      <w:color w:val="000000"/>
      <w:kern w:val="0"/>
      <w:sz w:val="20"/>
      <w:szCs w:val="20"/>
      <w:lang w:val="pl-PL" w:eastAsia="pl-PL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55a7a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f55a7a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semiHidden/>
    <w:unhideWhenUsed/>
    <w:qFormat/>
    <w:rsid w:val="00f55a7a"/>
    <w:pPr>
      <w:pBdr/>
    </w:pPr>
    <w:rPr>
      <w:rFonts w:ascii="Tahoma" w:hAnsi="Tahoma" w:eastAsia="Calibri" w:cs="Tahoma"/>
      <w:sz w:val="16"/>
      <w:szCs w:val="16"/>
      <w:lang w:val="pl-PL"/>
    </w:rPr>
  </w:style>
  <w:style w:type="paragraph" w:styleId="HTMLPreformatted">
    <w:name w:val="HTML Preformatted"/>
    <w:basedOn w:val="Normal"/>
    <w:link w:val="HTML-wstpniesformatowanyZnak"/>
    <w:uiPriority w:val="99"/>
    <w:unhideWhenUsed/>
    <w:qFormat/>
    <w:rsid w:val="00ba33ab"/>
    <w:pPr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5267e0"/>
    <w:pPr>
      <w:spacing w:before="0" w:after="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Kreski" w:customStyle="1">
    <w:name w:val="Kreski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LibreOffice/7.0.4.2$Windows_X86_64 LibreOffice_project/dcf040e67528d9187c66b2379df5ea4407429775</Application>
  <AppVersion>15.0000</AppVersion>
  <Pages>2</Pages>
  <Words>320</Words>
  <Characters>2240</Characters>
  <CharactersWithSpaces>2541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2020-04-14T10:38:00Z</dcterms:created>
  <dc:creator>Mery</dc:creator>
  <dc:description/>
  <dc:language>pl-PL</dc:language>
  <cp:lastModifiedBy/>
  <cp:lastPrinted>2020-01-19T20:34:00Z</cp:lastPrinted>
  <dcterms:modified xsi:type="dcterms:W3CDTF">2022-01-24T11:54:21Z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